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Individual programme plan for supporting children with CVI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Child:</w:t>
        <w:tab/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programme commencement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programme ending: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Programme locations: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People involved with programme: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hd w:fill="cccccc" w:val="clear"/>
        <w:rPr>
          <w:i w:val="1"/>
        </w:rPr>
      </w:pPr>
      <w:r w:rsidDel="00000000" w:rsidR="00000000" w:rsidRPr="00000000">
        <w:rPr>
          <w:b w:val="1"/>
          <w:rtl w:val="0"/>
        </w:rPr>
        <w:t xml:space="preserve">Overarching strategies: </w:t>
      </w:r>
      <w:r w:rsidDel="00000000" w:rsidR="00000000" w:rsidRPr="00000000">
        <w:rPr>
          <w:i w:val="1"/>
          <w:rtl w:val="0"/>
        </w:rPr>
        <w:t xml:space="preserve">These are the main strategies that can be used to help deal with CVI related difficulties.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3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of focus – CVI Education (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nderstanding the different aspects of CVI)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3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of focus – Visual skills (strategies to help with the specific visual difficulties child has)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hd w:fill="b7b7b7" w:val="clear"/>
        <w:rPr>
          <w:i w:val="1"/>
        </w:rPr>
      </w:pPr>
      <w:r w:rsidDel="00000000" w:rsidR="00000000" w:rsidRPr="00000000">
        <w:rPr>
          <w:b w:val="1"/>
          <w:rtl w:val="0"/>
        </w:rPr>
        <w:t xml:space="preserve">Specific strategies: </w:t>
      </w:r>
      <w:r w:rsidDel="00000000" w:rsidR="00000000" w:rsidRPr="00000000">
        <w:rPr>
          <w:i w:val="1"/>
          <w:rtl w:val="0"/>
        </w:rPr>
        <w:t xml:space="preserve">These strategies relate to specific issues that are caused by CVI.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485"/>
        <w:gridCol w:w="4395"/>
        <w:tblGridChange w:id="0">
          <w:tblGrid>
            <w:gridCol w:w="4485"/>
            <w:gridCol w:w="439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Implemented and achieved</w:t>
            </w:r>
          </w:p>
        </w:tc>
      </w:tr>
      <w:tr>
        <w:trPr>
          <w:trHeight w:val="45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Home:</w:t>
            </w:r>
          </w:p>
          <w:p w:rsidR="00000000" w:rsidDel="00000000" w:rsidP="00000000" w:rsidRDefault="00000000" w:rsidRPr="00000000" w14:paraId="00000021">
            <w:pPr>
              <w:ind w:left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Mobility:</w:t>
            </w:r>
          </w:p>
          <w:p w:rsidR="00000000" w:rsidDel="00000000" w:rsidP="00000000" w:rsidRDefault="00000000" w:rsidRPr="00000000" w14:paraId="0000002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School:</w:t>
            </w:r>
          </w:p>
          <w:p w:rsidR="00000000" w:rsidDel="00000000" w:rsidP="00000000" w:rsidRDefault="00000000" w:rsidRPr="00000000" w14:paraId="00000027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